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PROJETO DE LEI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Ementa: [Descreva o objeto em uma frase, começando por verbo. Ex.: "Institui a Semana Municipal de Combate à Dengue e dá outras providências."]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CÂMARA MUNICIPAL DE [MUNICÍPIO] APROVA: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[Comando principal da norma — o que se institui, cria, altera ou proíbe.]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[Se necessário, detalhe ou excepcione o caput.]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[Segundo comando, se houver. Cada artigo trata de um único assunto.]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 – [inciso, quando houver enumeração];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 – [inciso].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[Se a norma gerar despesa: indique a dotação. Ex.: "As despesas decorrentes da execução desta Lei correrão por conta de dotações orçamentárias próprias, suplementadas se necessário."]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Esta Lei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[Ou, havendo vacatio: "Esta Lei entra em vigor [número] dias após a sua publicação."]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[Explique o problema que a norma resolve, o interesse público envolvido e a competência para legislar sobre a matéria. Se houver impacto orçamentário, demonstre-o. Se a matéria já existe em outros municípios ou tem respaldo em lei federal, cite.]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Projeto de lei municipal</dc:title>
  <dc:description>Estrutura completa de um projeto de lei, com epígrafe, ementa, preâmbulo, articulado, vigência e justificativa. Modelo de referência para adaptação.</dc:description>
  <dc:subject/>
  <cp:keywords/>
  <cp:category/>
  <cp:lastModifiedBy/>
  <dcterms:created xsi:type="dcterms:W3CDTF">2026-08-02T00:41:42-03:00</dcterms:created>
  <dcterms:modified xsi:type="dcterms:W3CDTF">2026-08-02T00:41:42-03:00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