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PROJETO DE RESOLUÇÃO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Ementa: [Objeto em uma frase. Ex.: "Altera o art. [X] do Regimento Interno da Câmara Municipal de [Município]."]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atribuições, faz saber que a Câmara aprovou e ela promulga a seguinte Resolução: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[Comando principal.]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[Se aplicável, disposição transitória: a partir de quando a alteração passa a valer para as matérias em tramitação.]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Esta Resolução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[Explique a necessidade da alteração e sua compatibilidade com a Lei Orgânica. Em alteração regimental, indique expressamente o dispositivo alterado e o texto anterior.]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Projeto de resolução</dc:title>
  <dc:description>Trata de matéria de economia interna da Câmara e é promulgado pela Mesa, sem sanção do Prefeito. Modelo de referência para adaptação.</dc:description>
  <dc:subject/>
  <cp:keywords/>
  <cp:category/>
  <cp:lastModifiedBy/>
  <dcterms:created xsi:type="dcterms:W3CDTF">2026-08-02T00:42:40-03:00</dcterms:created>
  <dcterms:modified xsi:type="dcterms:W3CDTF">2026-08-02T00:42:40-03:00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