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este subscreve, no uso das atribuições que lhe confere o Regimento Interno desta Casa e com fundamento no art. [artigo] da Lei Orgânica do Município, requer a Vossa Excelência que, ouvido o Plenário, seja oficiado ao Excelentíssimo Senhor Prefeito Municipal solicitando as seguintes informações: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1. [primeira informação solicitada, de forma objetiva];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2. [segunda informação solicitada];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3. [documentos cuja cópia se requer].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[Explique a relevância pública da informação e o que se pretende acompanhar. Este campo é o que distingue fiscalização de curiosidade e sustenta o requerimento se ele for questionado.]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informação ao Executivo</dc:title>
  <dc:description>Pede informação ou documento ao Prefeito, no exercício da função fiscalizatória da Câmara. Modelo de referência para adaptação.</dc:description>
  <dc:subject/>
  <cp:keywords/>
  <cp:category/>
  <cp:lastModifiedBy/>
  <dcterms:created xsi:type="dcterms:W3CDTF">2026-08-02T00:42:41-03:00</dcterms:created>
  <dcterms:modified xsi:type="dcterms:W3CDTF">2026-08-02T00:42:41-03:00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