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RESOLUÇÃO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Institui a Ouvidoria da Câmara Municipal de [Município] e dispõe sobre o processamento das manifestações dos usuários de serviços públicos.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 regimentais, e tendo em vista o disposto na Lei nº 13.460, de 26 de junho de 2017, promulga a seguinte Resolução: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Fica instituída a Ouvidoria da Câmara Municipal de [Município], vinculada a [Presidência / Mesa Diretora], como canal de participação, proteção e defesa dos direitos do usuário dos serviços prestados pela Casa.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Compete à Ouvidoria: I – receber, analisar e encaminhar às autoridades competentes as manifestações, acompanhando o tratamento e a efetiva conclusão; II – promover a participação do usuário na administração; III – acompanhar a prestação dos serviços, visando a garantir sua efetividade; IV – propor aperfeiçoamentos; V – auxiliar na prevenção e correção de atos incompatíveis com a Lei nº 13.460, de 2017; VI – promover mediação e conciliação entre o usuário e a Câmara.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Consideram-se manifestações: I – reclamação; II – denúncia; III – sugestão; IV – elogio; V – solicitação de providência.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O pedido de acesso a informações rege-se pela Lei nº 12.527, de 2011, e será encaminhado ao Serviço de Informações ao Cidadão, com o prazo próprio daquela lei.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As manifestações poderão ser apresentadas por meio eletrônico, presencial, telefônico ou postal, e conterão a identificação do manifestante, salvo nas hipóteses de anonimato admitidas em lei.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§ 1º É vedada a exigência de identificação além da necessária, e são vedadas exigências relativas ao motivo da manifestação.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§ 2º Toda manifestação recebe número de protocolo, informado ao manifestante, que permite consultar o andamento.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A Ouvidoria encaminhará a decisão administrativa final ao usuário no prazo de 30 (trinta) dias, prorrogável de forma justificada uma única vez, por igual período.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As unidades da Câmara responderão às solicitações da Ouvidoria no prazo por ela fixado, observado o prazo do caput.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A identidade do manifestante e os dados pessoais coletados serão protegidos na forma da Lei nº 13.709, de 2018, e, no caso de denúncia, observada a proteção contra retaliação.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7º A Ouvidoria elaborará relatório anual de gestão, contendo o número de manifestações por tipo, os prazos médios de resposta e as providências adotadas, com publicação no sítio eletrônico da Câmara.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8º Esta Resolução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Resolução que institui a Ouvidoria da Câmara</dc:title>
  <dc:description>Cria a ouvidoria, define atribuições, rito das manifestações e o prazo de 30 dias da Lei 13.460/2017, prorrogável uma única vez. Modelo de referência para adaptação.</dc:description>
  <dc:subject/>
  <cp:keywords/>
  <cp:category/>
  <cp:lastModifiedBy/>
  <dcterms:created xsi:type="dcterms:W3CDTF">2026-08-02T03:01:58-03:00</dcterms:created>
  <dcterms:modified xsi:type="dcterms:W3CDTF">2026-08-02T03:01:58-03:00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