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RESOLUÇÃO Nº [número], DE [dia] DE [mês] DE [ano]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Regulamenta, no âmbito da Câmara Municipal de [Município], o acesso a informações previsto na Lei nº 12.527, de 18 de novembro de 2011.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 MESA DA CÂMARA MUNICIPAL DE [MUNICÍPIO], no uso das atribuições que lhe confere o [dispositivo do Regimento Interno / da Lei Orgânica], e tendo em vista o disposto no art. 45 da Lei nº 12.527, de 2011, promulga a seguinte Resolução: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CAPÍTULO I — DISPOSIÇÕES GERAIS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Art. 1º Esta Resolução regulamenta, no âmbito da Câmara Municipal de [Município], os procedimentos de acesso a informações de que trata a Lei nº 12.527, de 2011.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Art. 2º É dever da Câmara assegurar a gestão transparente da informação, garantindo sua disponibilidade, autenticidade e integridade, e observando a publicidade como preceito geral e o sigilo como exceção.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CAPÍTULO II — DA TRANSPARÊNCIA ATIVA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Art. 3º A Câmara divulgará em seu sítio eletrônico, independentemente de requerimento, no mínimo: I – estrutura organizacional, competências, endereços e telefones e horário de atendimento; II – repasses e transferências de recursos; III – despesas; IV – licitações, contratos e seus aditivos; V – dados gerais para acompanhamento de programas e ações; VI – respostas a perguntas mais frequentes; VII – remuneração e subsídio de agentes públicos; VIII – atos normativos e proposições legislativas.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Parágrafo único. A divulgação observará os requisitos do art. 8º, §3º da Lei nº 12.527, de 2011, inclusive quanto a formato aberto, ferramenta de pesquisa e acessibilidade.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CAPÍTULO III — DO SERVIÇO DE INFORMAÇÕES AO CIDADÃO (SIC)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Art. 4º Fica instituído o Serviço de Informações ao Cidadão (SIC) da Câmara Municipal de [Município], vinculado a [setor], com atendimento presencial em [endereço e horário] e atendimento eletrônico em [endereço do e-SIC].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Art. 5º Compete ao SIC atender e orientar o público quanto ao acesso a informações, informar sobre a tramitação de documentos e protocolizar pedidos de acesso.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CAPÍTULO IV — DO PEDIDO DE ACESSO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Art. 6º Qualquer interessado poderá apresentar pedido de acesso, por meio eletrônico ou presencial, com a identificação do requerente e a especificação da informação requerida.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§ 1º São vedadas exigências relativas aos motivos determinantes da solicitação.</w:t>
      </w:r>
    </w:p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§ 2º Não será exigido do requerente documento além do necessário à sua identificação, nem reconhecimento de firma.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Art. 7º O pedido será respondido em até 20 (vinte) dias, prorrogáveis por mais 10 (dez) mediante justificativa expressa, cientificado o requerente antes do término do prazo original.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Art. 8º Sendo a informação de acesso restrito, a Câmara indicará ao requerente as razões de fato e de direito da recusa, com o fundamento legal e a possibilidade de recurso, prazos e autoridade competente.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CAPÍTULO V — DOS RECURSOS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Art. 9º Negado o acesso, caberá recurso no prazo de 10 (dez) dias, dirigido a [autoridade hierarquicamente superior à que proferiu a decisão], que decidirá em 5 (cinco) dias.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Art. 10. Desprovido o recurso, caberá novo recurso a [instância definida pela Casa — usualmente a Mesa Diretora ou o Plenário], na forma do Regimento Interno.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CAPÍTULO VI — DA AUTORIDADE DE MONITORAMENTO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Art. 11. Fica designada como autoridade de monitoramento, nos termos do art. 40 da Lei nº 12.527, de 2011, [cargo], à qual compete assegurar o cumprimento das normas de acesso, monitorar a implementação, apresentar relatório anual e orientar as unidades.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CAPÍTULO VII — DAS DISPOSIÇÕES FINAIS</w:t>
      </w:r>
    </w:p>
    <w:p/>
    <w:p>
      <w:pPr>
        <w:jc w:val="end"/>
        <w:spacing w:before="340" w:after="340" w:line="360" w:lineRule="auto"/>
      </w:pPr>
      <w:r>
        <w:rPr>
          <w:sz w:val="24"/>
          <w:szCs w:val="24"/>
        </w:rPr>
        <w:t xml:space="preserve">Art. 12. O tratamento de dados pessoais no atendimento aos pedidos observará a Lei nº 13.709, de 14 de agosto de 2018 (LGPD).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Art. 13. Esta Resolução entra em vigor na data de sua publicação.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center"/>
        <w:spacing w:after="40" w:line="288" w:lineRule="auto"/>
      </w:pPr>
      <w:r>
        <w:rPr>
          <w:sz w:val="24"/>
          <w:szCs w:val="24"/>
        </w:rPr>
        <w:t xml:space="preserve">[Nome] — Presidente</w:t>
      </w:r>
    </w:p>
    <w:p>
      <w:pPr>
        <w:jc w:val="center"/>
        <w:spacing w:after="40" w:line="288" w:lineRule="auto"/>
      </w:pPr>
      <w:r>
        <w:rPr>
          <w:sz w:val="24"/>
          <w:szCs w:val="24"/>
        </w:rPr>
        <w:t xml:space="preserve">[Nome] — 1º Secretário</w:t>
      </w:r>
    </w:p>
    <w:p>
      <w:pPr>
        <w:jc w:val="center"/>
        <w:spacing w:after="40" w:line="288" w:lineRule="auto"/>
      </w:pPr>
      <w:r>
        <w:rPr>
          <w:sz w:val="24"/>
          <w:szCs w:val="24"/>
        </w:rPr>
        <w:t xml:space="preserve">[Nome] — 2º Secretário</w:t>
      </w:r>
    </w:p>
    <w:sectPr>
      <w:headerReference w:type="default" r:id="rId7"/>
      <w:footerReference w:type="default" r:id="rId8"/>
      <w:footerReference w:type="first" r:id="rId9"/>
      <w:titlePg/>
      <w:pgSz w:orient="portrait" w:w="11905.511811023622" w:h="16837.79527559055"/>
      <w:pgMar w:top="1418" w:right="1134" w:bottom="1134" w:left="1701" w:header="709" w:footer="567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40"/>
    </w:pPr>
    <w:r>
      <w:fldChar w:fldCharType="begin"/>
    </w:r>
    <w:r>
      <w:rPr>
        <w:color w:val="555555"/>
        <w:sz w:val="18"/>
        <w:szCs w:val="18"/>
      </w:rPr>
      <w:instrText xml:space="preserve">PAGE</w:instrText>
    </w:r>
    <w:r>
      <w:fldChar w:fldCharType="separate"/>
    </w:r>
    <w:r>
      <w:fldChar w:fldCharType="end"/>
    </w:r>
  </w:p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20"/>
    </w:pPr>
    <w:r>
      <w:rPr>
        <w:color w:val="AAAAAA"/>
        <w:sz w:val="18"/>
        <w:szCs w:val="18"/>
      </w:rPr>
      <w:t xml:space="preserve">[BRASÃO]</w:t>
    </w:r>
  </w:p>
  <w:p>
    <w:pPr>
      <w:jc w:val="center"/>
      <w:spacing w:after="0"/>
    </w:pPr>
    <w:r>
      <w:rPr>
        <w:sz w:val="24"/>
        <w:szCs w:val="24"/>
        <w:b w:val="1"/>
        <w:bCs w:val="1"/>
      </w:rPr>
      <w:t xml:space="preserve">CÂMARA MUNICIPAL DE [MUNICÍPIO]</w:t>
    </w:r>
  </w:p>
  <w:p>
    <w:pPr>
      <w:jc w:val="center"/>
      <w:spacing w:after="60"/>
    </w:pPr>
    <w:r>
      <w:rPr>
        <w:color w:val="555555"/>
        <w:sz w:val="16"/>
        <w:szCs w:val="16"/>
      </w:rPr>
      <w:t xml:space="preserve">Estado de [UF] · CNPJ [número] · [endereço]</w:t>
    </w:r>
  </w:p>
  <w:p>
    <w:pPr>
      <w:jc w:val="center"/>
    </w:pPr>
    <w:r>
      <w:rPr>
        <w:color w:val="BBBBBB"/>
        <w:sz w:val="12"/>
        <w:szCs w:val="12"/>
      </w:rPr>
      <w:t xml:space="preserve">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Resolução que regulamenta a LAI na Câmara</dc:title>
  <dc:description>Cria o SIC, define o rito do pedido de informação, os prazos e a autoridade de recurso. Norma própria exigida pelo art. 45 da Lei 12.527/2011. Modelo de referência para adaptação.</dc:description>
  <dc:subject/>
  <cp:keywords/>
  <cp:category/>
  <cp:lastModifiedBy/>
  <dcterms:created xsi:type="dcterms:W3CDTF">2026-09-16T03:58:54-03:00</dcterms:created>
  <dcterms:modified xsi:type="dcterms:W3CDTF">2026-09-16T03:58:54-03:00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