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RESOLUÇÃO Nº [número], DE [dia] DE [mês] DE [ano]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Regulamenta, no âmbito da Câmara Municipal de [Município], o acesso a informações previsto na Lei nº 12.527, de 18 de novembro de 2011.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 MESA DA CÂMARA MUNICIPAL DE [MUNICÍPIO], no uso das atribuições que lhe confere o [dispositivo do Regimento Interno / da Lei Orgânica], e tendo em vista o disposto no art. 45 da Lei nº 12.527, de 2011, promulga a seguinte Resolução: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CAPÍTULO I — DISPOSIÇÕES GERAIS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1º Esta Resolução regulamenta, no âmbito da Câmara Municipal de [Município], os procedimentos de acesso a informações de que trata a Lei nº 12.527, de 2011.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2º É dever da Câmara assegurar a gestão transparente da informação, garantindo sua disponibilidade, autenticidade e integridade, e observando a publicidade como preceito geral e o sigilo como exceção.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CAPÍTULO II — DA TRANSPARÊNCIA ATIVA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3º A Câmara divulgará em seu sítio eletrônico, independentemente de requerimento, no mínimo: I – estrutura organizacional, competências, endereços e telefones e horário de atendimento; II – repasses e transferências de recursos; III – despesas; IV – licitações, contratos e seus aditivos; V – dados gerais para acompanhamento de programas e ações; VI – respostas a perguntas mais frequentes; VII – remuneração e subsídio de agentes públicos; VIII – atos normativos e proposições legislativas.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Parágrafo único. A divulgação observará os requisitos do art. 8º, §3º da Lei nº 12.527, de 2011, inclusive quanto a formato aberto, ferramenta de pesquisa e acessibilidade.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CAPÍTULO III — DO SERVIÇO DE INFORMAÇÕES AO CIDADÃO (SIC)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4º Fica instituído o Serviço de Informações ao Cidadão (SIC) da Câmara Municipal de [Município], vinculado a [setor], com atendimento presencial em [endereço e horário] e atendimento eletrônico em [endereço do e-SIC].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5º Compete ao SIC atender e orientar o público quanto ao acesso a informações, informar sobre a tramitação de documentos e protocolizar pedidos de acesso.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CAPÍTULO IV — DO PEDIDO DE ACESSO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6º Qualquer interessado poderá apresentar pedido de acesso, por meio eletrônico ou presencial, com a identificação do requerente e a especificação da informação requerida.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§ 1º São vedadas exigências relativas aos motivos determinantes da solicitação.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§ 2º Não será exigido do requerente documento além do necessário à sua identificação, nem reconhecimento de firma.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7º O pedido será respondido em até 20 (vinte) dias, prorrogáveis por mais 10 (dez) mediante justificativa expressa, cientificado o requerente antes do término do prazo original.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8º Sendo a informação de acesso restrito, a Câmara indicará ao requerente as razões de fato e de direito da recusa, com o fundamento legal e a possibilidade de recurso, prazos e autoridade competente.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CAPÍTULO V — DOS RECURSOS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9º Negado o acesso, caberá recurso no prazo de 10 (dez) dias, dirigido a [autoridade hierarquicamente superior à que proferiu a decisão], que decidirá em 5 (cinco) dias.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10. Desprovido o recurso, caberá novo recurso a [instância definida pela Casa — usualmente a Mesa Diretora ou o Plenário], na forma do Regimento Interno.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CAPÍTULO VI — DA AUTORIDADE DE MONITORAMENTO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11. Fica designada como autoridade de monitoramento, nos termos do art. 40 da Lei nº 12.527, de 2011, [cargo], à qual compete assegurar o cumprimento das normas de acesso, monitorar a implementação, apresentar relatório anual e orientar as unidades.</w:t>
      </w:r>
    </w:p>
    <w:p/>
    <w:p>
      <w:pPr>
        <w:jc w:val="center"/>
        <w:spacing w:after="120" w:line="360" w:lineRule="auto"/>
      </w:pPr>
      <w:r>
        <w:rPr>
          <w:sz w:val="24"/>
          <w:szCs w:val="24"/>
          <w:b w:val="1"/>
          <w:bCs w:val="1"/>
        </w:rPr>
        <w:t xml:space="preserve">CAPÍTULO VII — DAS DISPOSIÇÕES FINAIS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12. O tratamento de dados pessoais no atendimento aos pedidos observará a Lei nº 13.709, de 14 de agosto de 2018 (LGPD).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Art. 13. Esta Resolução entra em vigor na data de sua publicação.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[Município], [dia] de [mês] de [ano].</w:t>
      </w:r>
    </w:p>
    <w:p/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 — Presidente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 — 1º Secretário</w:t>
      </w:r>
    </w:p>
    <w:p>
      <w:pPr>
        <w:jc w:val="both"/>
        <w:spacing w:after="100" w:line="360" w:lineRule="auto"/>
      </w:pPr>
      <w:r>
        <w:rPr>
          <w:sz w:val="24"/>
          <w:szCs w:val="24"/>
        </w:rPr>
        <w:t xml:space="preserve">[Nome] — 2º Secretário</w:t>
      </w:r>
    </w:p>
    <w:sectPr>
      <w:footerReference w:type="default" r:id="rId7"/>
      <w:pgSz w:orient="portrait" w:w="11905.511811023622" w:h="16837.79527559055"/>
      <w:pgMar w:top="1134" w:right="1134" w:bottom="1134" w:left="1701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08080"/>
        <w:sz w:val="14"/>
        <w:szCs w:val="14"/>
        <w:i w:val="1"/>
        <w:iCs w:val="1"/>
      </w:rPr>
      <w:t xml:space="preserve">Modelo de referência obtido em camaradigital.app/modelos — adapte ao Regimento Interno da sua Casa.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Digital — camaradigital.app</dc:creator>
  <dc:title>Resolução que regulamenta a LAI na Câmara</dc:title>
  <dc:description>Cria o SIC, define o rito do pedido de informação, os prazos e a autoridade de recurso. Norma própria exigida pelo art. 45 da Lei 12.527/2011. Modelo de referência para adaptação.</dc:description>
  <dc:subject/>
  <cp:keywords/>
  <cp:category/>
  <cp:lastModifiedBy/>
  <dcterms:created xsi:type="dcterms:W3CDTF">2026-08-02T02:55:49-03:00</dcterms:created>
  <dcterms:modified xsi:type="dcterms:W3CDTF">2026-08-02T02:55:49-03:00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